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FC9F"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7D802B36"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3906B373"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511F0DEE"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_</w:t>
      </w:r>
      <w:r w:rsidR="00A8077C">
        <w:rPr>
          <w:rFonts w:ascii="Century Gothic" w:eastAsia="Times New Roman" w:hAnsi="Century Gothic" w:cs="Century Gothic"/>
          <w:b/>
          <w:bCs/>
          <w:kern w:val="28"/>
          <w:sz w:val="20"/>
          <w:szCs w:val="20"/>
          <w:u w:val="single"/>
        </w:rPr>
        <w:t xml:space="preserve">Friendly Dental @ </w:t>
      </w:r>
      <w:r w:rsidR="00F7402C">
        <w:rPr>
          <w:rFonts w:ascii="Century Gothic" w:eastAsia="Times New Roman" w:hAnsi="Century Gothic" w:cs="Century Gothic"/>
          <w:b/>
          <w:bCs/>
          <w:kern w:val="28"/>
          <w:sz w:val="20"/>
          <w:szCs w:val="20"/>
          <w:u w:val="single"/>
        </w:rPr>
        <w:t>South Park</w:t>
      </w:r>
      <w:r w:rsidRPr="00950B17">
        <w:rPr>
          <w:rFonts w:ascii="Century Gothic" w:eastAsia="Times New Roman" w:hAnsi="Century Gothic" w:cs="Century Gothic"/>
          <w:b/>
          <w:bCs/>
          <w:kern w:val="28"/>
          <w:sz w:val="20"/>
          <w:szCs w:val="20"/>
        </w:rPr>
        <w:t>_</w:t>
      </w:r>
    </w:p>
    <w:p w14:paraId="2F66446B"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F7402C">
        <w:rPr>
          <w:rFonts w:ascii="Century Gothic" w:eastAsia="Times New Roman" w:hAnsi="Century Gothic" w:cs="Century Gothic"/>
          <w:b/>
          <w:bCs/>
          <w:kern w:val="28"/>
          <w:sz w:val="20"/>
          <w:szCs w:val="20"/>
          <w:u w:val="single"/>
        </w:rPr>
        <w:t>5940 Fairview Rd Suite 130</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14:paraId="015B985D"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F7402C">
        <w:rPr>
          <w:rFonts w:ascii="Century Gothic" w:eastAsia="Times New Roman" w:hAnsi="Century Gothic" w:cs="Century Gothic"/>
          <w:b/>
          <w:bCs/>
          <w:kern w:val="28"/>
          <w:sz w:val="20"/>
          <w:szCs w:val="20"/>
          <w:u w:val="single"/>
        </w:rPr>
        <w:t>Charlotte, NC 28210</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14:paraId="31F0D2F2"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7ED9595D"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73464D1D"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6B095196"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5F8BD1AA"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11F74F7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F7402C">
        <w:rPr>
          <w:rFonts w:ascii="Century Gothic" w:eastAsia="Times New Roman" w:hAnsi="Century Gothic" w:cs="Century Gothic"/>
          <w:kern w:val="28"/>
          <w:sz w:val="20"/>
          <w:szCs w:val="20"/>
          <w:u w:val="single"/>
        </w:rPr>
        <w:t>South Park</w:t>
      </w:r>
      <w:r w:rsidRPr="00950B17">
        <w:rPr>
          <w:rFonts w:ascii="Century Gothic" w:eastAsia="Times New Roman" w:hAnsi="Century Gothic" w:cs="Century Gothic"/>
          <w:kern w:val="28"/>
          <w:sz w:val="20"/>
          <w:szCs w:val="20"/>
        </w:rPr>
        <w:t>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57AF25A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544205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519A0EB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E342DD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52CE9DD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B8B198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0260102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A57E75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5953635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F16731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4B4B2B6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CDD33C"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078CAE11" wp14:editId="3AFE6697">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54D0CA5B"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68EFE26B"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7C2D681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4FECBD0"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6DDDD0D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1A19FB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6078568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39CD51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32A8590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F6B604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5559EA6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75830EA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3FD6A35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14:paraId="284620B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5611473"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185A33B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77E558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24A3434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2657E51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4FC59F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3014B59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5885A8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7B057E4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CCA3B1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1549BE5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4917F96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37C7D08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07981C1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717A960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06D9F45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7280769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4553554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28FB628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4EFFB7C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433AF662"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480AEF4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668B7E2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073201F"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2BA3EE1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4AF20EB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32AA5C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5627427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3B2EF59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1390EB4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399E4CC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08F3FCD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37340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47D2957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4BC587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789B629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7C230BA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6783182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2B426E3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2E8A992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16226C5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41A268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EA2C4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14:paraId="156C339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73050B1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3875144"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1945645D" w14:textId="77777777" w:rsidR="001E3620" w:rsidRPr="00950B17" w:rsidRDefault="001E3620" w:rsidP="001E3620">
      <w:pPr>
        <w:widowControl w:val="0"/>
        <w:overflowPunct w:val="0"/>
        <w:adjustRightInd w:val="0"/>
        <w:jc w:val="both"/>
        <w:rPr>
          <w:rFonts w:eastAsia="Times New Roman" w:cs="Calibri"/>
          <w:kern w:val="28"/>
        </w:rPr>
      </w:pPr>
    </w:p>
    <w:p w14:paraId="16280247"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17EC2401" w14:textId="77777777" w:rsidR="001E3620" w:rsidRPr="00950B17" w:rsidRDefault="00386479"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592DF568"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532C75B7"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6BACCCA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5F337D4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5559F49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7084E7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14B72BB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215928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20A4217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3A4777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67881AF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6B8091C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3E64B99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931728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3902C11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9B65D5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2428494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88FB46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7C08D98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A8E623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435AC52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C4A35A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15F9CC6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B2402E8"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1F90568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7F5511A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7D92F08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92197F4"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68CF0E5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6A65B08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A3279EB"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5D7C19C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CF5558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6ADF40B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1C34FB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0CD66DE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943473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4510762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90A5B5"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7F31E2C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37D6A85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4104F1BD"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75BABB3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17AD523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F3735E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341CEFA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522039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14F0038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6C540A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684EB10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EAD36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24BDF40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647C54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2A67FDA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279ABE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40C3BEE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07EF6E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11D235F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86BF90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713C536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258B7E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10936A1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259BA0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4742E8A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6CE3178B"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4CB29355" wp14:editId="79CB13F8">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5C41CE52"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6394FF9F"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5F0B230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494BEDB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0EAFFA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525DE39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6F1B7E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322820B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87C98A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6EF8F5A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FF5610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63986DD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9BB77B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57ECD62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33DFE61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2F89DC7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56DC77B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62EA365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E33C00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3259F81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08FBC16" w14:textId="7F885D5F"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6C4711">
        <w:rPr>
          <w:rFonts w:ascii="Century Gothic" w:eastAsia="Times New Roman" w:hAnsi="Century Gothic" w:cs="Century Gothic"/>
          <w:iCs/>
          <w:kern w:val="28"/>
          <w:sz w:val="20"/>
          <w:szCs w:val="20"/>
          <w:u w:val="single"/>
        </w:rPr>
        <w:t>Alexandra Vernon</w:t>
      </w:r>
      <w:bookmarkStart w:id="0" w:name="_GoBack"/>
      <w:bookmarkEnd w:id="0"/>
      <w:r w:rsidRPr="00950B17">
        <w:rPr>
          <w:rFonts w:ascii="Century Gothic" w:eastAsia="Times New Roman" w:hAnsi="Century Gothic" w:cs="Century Gothic"/>
          <w:i/>
          <w:iCs/>
          <w:kern w:val="28"/>
          <w:sz w:val="20"/>
          <w:szCs w:val="20"/>
        </w:rPr>
        <w:t>_________</w:t>
      </w:r>
    </w:p>
    <w:p w14:paraId="652F6C22"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F7402C">
        <w:rPr>
          <w:rFonts w:ascii="Century Gothic" w:eastAsia="Times New Roman" w:hAnsi="Century Gothic" w:cs="Century Gothic"/>
          <w:i/>
          <w:iCs/>
          <w:kern w:val="28"/>
          <w:sz w:val="20"/>
          <w:szCs w:val="20"/>
          <w:u w:val="single"/>
        </w:rPr>
        <w:t>Southpark</w:t>
      </w:r>
      <w:r w:rsidRPr="00950B17">
        <w:rPr>
          <w:rFonts w:ascii="Century Gothic" w:eastAsia="Times New Roman" w:hAnsi="Century Gothic" w:cs="Century Gothic"/>
          <w:i/>
          <w:iCs/>
          <w:kern w:val="28"/>
          <w:sz w:val="20"/>
          <w:szCs w:val="20"/>
        </w:rPr>
        <w:t>__</w:t>
      </w:r>
    </w:p>
    <w:p w14:paraId="675453E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F7402C">
        <w:rPr>
          <w:rFonts w:ascii="Century Gothic" w:eastAsia="Times New Roman" w:hAnsi="Century Gothic" w:cs="Century Gothic"/>
          <w:iCs/>
          <w:kern w:val="28"/>
          <w:sz w:val="20"/>
          <w:szCs w:val="20"/>
          <w:u w:val="single"/>
        </w:rPr>
        <w:t>5940 Fairview Rd Suite 130</w:t>
      </w:r>
      <w:r w:rsidRPr="00950B17">
        <w:rPr>
          <w:rFonts w:ascii="Century Gothic" w:eastAsia="Times New Roman" w:hAnsi="Century Gothic" w:cs="Century Gothic"/>
          <w:i/>
          <w:iCs/>
          <w:kern w:val="28"/>
          <w:sz w:val="20"/>
          <w:szCs w:val="20"/>
        </w:rPr>
        <w:t>___</w:t>
      </w:r>
    </w:p>
    <w:p w14:paraId="2922BE6C"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F7402C">
        <w:rPr>
          <w:rFonts w:ascii="Century Gothic" w:eastAsia="Times New Roman" w:hAnsi="Century Gothic" w:cs="Century Gothic"/>
          <w:i/>
          <w:iCs/>
          <w:kern w:val="28"/>
          <w:sz w:val="20"/>
          <w:szCs w:val="20"/>
          <w:u w:val="single"/>
        </w:rPr>
        <w:t>Charlotte, NC 28210</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34F00D5A"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F7402C">
        <w:rPr>
          <w:rFonts w:ascii="Century Gothic" w:eastAsia="Times New Roman" w:hAnsi="Century Gothic" w:cs="Century Gothic"/>
          <w:iCs/>
          <w:kern w:val="28"/>
          <w:sz w:val="20"/>
          <w:szCs w:val="20"/>
          <w:u w:val="single"/>
        </w:rPr>
        <w:t>571-1326</w:t>
      </w:r>
      <w:r w:rsidRPr="00950B17">
        <w:rPr>
          <w:rFonts w:ascii="Century Gothic" w:eastAsia="Times New Roman" w:hAnsi="Century Gothic" w:cs="Century Gothic"/>
          <w:i/>
          <w:iCs/>
          <w:kern w:val="28"/>
          <w:sz w:val="20"/>
          <w:szCs w:val="20"/>
        </w:rPr>
        <w:t>____Ext.: ______</w:t>
      </w:r>
    </w:p>
    <w:p w14:paraId="783D008C"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F7402C">
        <w:rPr>
          <w:rFonts w:ascii="Century Gothic" w:eastAsia="Times New Roman" w:hAnsi="Century Gothic" w:cs="Century Gothic"/>
          <w:i/>
          <w:iCs/>
          <w:kern w:val="28"/>
          <w:sz w:val="20"/>
          <w:szCs w:val="20"/>
          <w:u w:val="single"/>
        </w:rPr>
        <w:t>571-1327</w:t>
      </w:r>
      <w:r w:rsidRPr="00950B17">
        <w:rPr>
          <w:rFonts w:ascii="Century Gothic" w:eastAsia="Times New Roman" w:hAnsi="Century Gothic" w:cs="Century Gothic"/>
          <w:i/>
          <w:iCs/>
          <w:kern w:val="28"/>
          <w:sz w:val="20"/>
          <w:szCs w:val="20"/>
        </w:rPr>
        <w:t>_________</w:t>
      </w:r>
    </w:p>
    <w:p w14:paraId="574AE64E"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F7402C">
        <w:rPr>
          <w:rFonts w:ascii="Century Gothic" w:eastAsia="Times New Roman" w:hAnsi="Century Gothic" w:cs="Century Gothic"/>
          <w:i/>
          <w:iCs/>
          <w:kern w:val="28"/>
          <w:sz w:val="20"/>
          <w:szCs w:val="20"/>
          <w:u w:val="single"/>
        </w:rPr>
        <w:t>Southpark</w:t>
      </w:r>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14:paraId="6F722A7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9D3A87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17F2AEA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4240DB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062E404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763C83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A05C91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AFF6326"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7ECA071A" wp14:editId="277F73F2">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5C388089"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7EA7F3F6"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528B77B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B7C187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72C48D6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970F33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7D2F86A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4EAB3D"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1C0BF78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2241B5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0E39808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F052737"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13BE573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82420C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6D0A900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943D0D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49B02E8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6F51FF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04D858C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AD231B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6CCA238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21C0E69B" w14:textId="77777777" w:rsidR="001E3620" w:rsidRDefault="001E3620" w:rsidP="001E3620">
      <w:pPr>
        <w:jc w:val="center"/>
        <w:rPr>
          <w:rFonts w:ascii="Arial" w:hAnsi="Arial" w:cs="Arial"/>
          <w:b/>
          <w:i/>
          <w:sz w:val="28"/>
          <w:szCs w:val="28"/>
          <w:u w:val="single"/>
        </w:rPr>
      </w:pPr>
    </w:p>
    <w:p w14:paraId="005B7A97" w14:textId="77777777" w:rsidR="001E3620" w:rsidRDefault="001E3620" w:rsidP="001E3620">
      <w:pPr>
        <w:jc w:val="center"/>
        <w:rPr>
          <w:rFonts w:ascii="Arial" w:hAnsi="Arial" w:cs="Arial"/>
          <w:b/>
          <w:i/>
          <w:sz w:val="28"/>
          <w:szCs w:val="28"/>
          <w:u w:val="single"/>
        </w:rPr>
      </w:pPr>
    </w:p>
    <w:p w14:paraId="507AA1C3" w14:textId="77777777" w:rsidR="001E3620" w:rsidRDefault="001E3620" w:rsidP="001E3620">
      <w:pPr>
        <w:jc w:val="center"/>
        <w:rPr>
          <w:rFonts w:ascii="Arial" w:hAnsi="Arial" w:cs="Arial"/>
          <w:b/>
          <w:i/>
          <w:sz w:val="28"/>
          <w:szCs w:val="28"/>
          <w:u w:val="single"/>
        </w:rPr>
      </w:pPr>
    </w:p>
    <w:p w14:paraId="0B9C8472"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5F8FDC5C" wp14:editId="2D05A045">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21FC33A6"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63562532"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0E91B9AC"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504F" w14:textId="77777777" w:rsidR="00386479" w:rsidRDefault="00386479" w:rsidP="00A74ABA">
      <w:r>
        <w:separator/>
      </w:r>
    </w:p>
  </w:endnote>
  <w:endnote w:type="continuationSeparator" w:id="0">
    <w:p w14:paraId="08DACBD2" w14:textId="77777777" w:rsidR="00386479" w:rsidRDefault="00386479"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F872" w14:textId="77777777" w:rsidR="00386479" w:rsidRDefault="00386479" w:rsidP="00A74ABA">
      <w:r>
        <w:separator/>
      </w:r>
    </w:p>
  </w:footnote>
  <w:footnote w:type="continuationSeparator" w:id="0">
    <w:p w14:paraId="2B597DB9" w14:textId="77777777" w:rsidR="00386479" w:rsidRDefault="00386479"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604F"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0BED" w14:textId="77777777" w:rsidR="005D460F" w:rsidRDefault="00C27977" w:rsidP="005D460F">
    <w:pPr>
      <w:pStyle w:val="Header"/>
      <w:jc w:val="center"/>
    </w:pPr>
    <w:r w:rsidRPr="00A079E5">
      <w:rPr>
        <w:noProof/>
      </w:rPr>
      <w:drawing>
        <wp:inline distT="0" distB="0" distL="0" distR="0" wp14:anchorId="27F2126F" wp14:editId="0CB9F3F6">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386479"/>
    <w:rsid w:val="005D460F"/>
    <w:rsid w:val="00676F6A"/>
    <w:rsid w:val="006C4711"/>
    <w:rsid w:val="00782D51"/>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7402C"/>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9444"/>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34806</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2020-01-16T21:55:00Z</dcterms:created>
  <dcterms:modified xsi:type="dcterms:W3CDTF">2020-01-16T21:55:00Z</dcterms:modified>
</cp:coreProperties>
</file>